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B6" w:rsidRDefault="00364B2A" w:rsidP="00E33503">
      <w:r>
        <w:pict>
          <v:line id="_x0000_s1038" alt="vertical line" style="position:absolute;flip:x;z-index:251659264;visibility:visible;mso-wrap-edited:f;mso-wrap-distance-left:2.88pt;mso-wrap-distance-top:2.88pt;mso-wrap-distance-right:2.88pt;mso-wrap-distance-bottom:2.88pt;mso-position-horizontal-relative:page;mso-position-vertical-relative:page" from="140.25pt,53.05pt" to="140.25pt,761.55pt" strokecolor="#99c" strokeweight="1pt" o:cliptowrap="t">
            <v:shadow color="#ccc"/>
            <w10:wrap side="left" anchorx="page" anchory="page"/>
          </v:line>
        </w:pict>
      </w:r>
      <w:r>
        <w:pict>
          <v:shapetype id="_x0000_t202" coordsize="21600,21600" o:spt="202" path="m,l,21600r21600,l21600,xe">
            <v:stroke joinstyle="miter"/>
            <v:path gradientshapeok="t" o:connecttype="rect"/>
          </v:shapetype>
          <v:shape id="_x0000_s1029" type="#_x0000_t202" style="position:absolute;margin-left:206.4pt;margin-top:48.55pt;width:364.5pt;height:82.35pt;z-index:25165516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column-margin:5.7pt" inset="2.85pt,2.85pt,2.85pt,2.85pt">
              <w:txbxContent>
                <w:p w:rsidR="00414FB1" w:rsidRDefault="006878B6" w:rsidP="00AE6316">
                  <w:pPr>
                    <w:pStyle w:val="Heading1"/>
                  </w:pPr>
                  <w:r>
                    <w:t>Greenville USBC</w:t>
                  </w:r>
                </w:p>
                <w:p w:rsidR="006878B6" w:rsidRPr="006878B6" w:rsidRDefault="006878B6" w:rsidP="006878B6">
                  <w:pPr>
                    <w:jc w:val="center"/>
                    <w:rPr>
                      <w:sz w:val="36"/>
                      <w:szCs w:val="36"/>
                      <w:lang w:val="en"/>
                    </w:rPr>
                  </w:pPr>
                  <w:r w:rsidRPr="006878B6">
                    <w:rPr>
                      <w:sz w:val="36"/>
                      <w:szCs w:val="36"/>
                      <w:lang w:val="en"/>
                    </w:rPr>
                    <w:t>Presents</w:t>
                  </w:r>
                </w:p>
              </w:txbxContent>
            </v:textbox>
            <w10:wrap side="left"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63.6pt">
            <v:imagedata r:id="rId7" o:title=""/>
          </v:shape>
        </w:pict>
      </w:r>
    </w:p>
    <w:p w:rsidR="006878B6" w:rsidRDefault="006878B6" w:rsidP="00E33503"/>
    <w:p w:rsidR="006878B6" w:rsidRDefault="006878B6" w:rsidP="00E33503"/>
    <w:p w:rsidR="006878B6" w:rsidRDefault="00364B2A" w:rsidP="00E33503">
      <w:r>
        <w:pict>
          <v:group id="_x0000_s1039" alt="Level bars" style="position:absolute;margin-left:208.5pt;margin-top:182.25pt;width:364.3pt;height:6.5pt;z-index:251660288;mso-position-horizontal-relative:page;mso-position-vertical-relative:page" coordorigin="216621,203454" coordsize="46268,822">
            <v:rect id="_x0000_s1040" style="position:absolute;left:216621;top:203454;width:15423;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041" style="position:absolute;left:232044;top:203454;width:15423;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042" style="position:absolute;left:247467;top:203454;width:15423;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p>
    <w:p w:rsidR="008269A3" w:rsidRDefault="008269A3" w:rsidP="00E33503"/>
    <w:p w:rsidR="008269A3" w:rsidRDefault="008269A3" w:rsidP="00E33503">
      <w:r>
        <w:t>Tournament Directors</w:t>
      </w:r>
    </w:p>
    <w:p w:rsidR="00393EA6" w:rsidRDefault="00364B2A" w:rsidP="0049674D">
      <w:r>
        <w:pict>
          <v:shape id="_x0000_s1027" type="#_x0000_t202" style="position:absolute;margin-left:206.4pt;margin-top:243pt;width:364.5pt;height:114pt;z-index:2516531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27;mso-column-margin:5.7pt" inset="2.85pt,2.85pt,2.85pt,2.85pt">
              <w:txbxContent>
                <w:p w:rsidR="006878B6" w:rsidRDefault="006878B6" w:rsidP="00E33503">
                  <w:pPr>
                    <w:pStyle w:val="Tagline"/>
                  </w:pPr>
                  <w:r>
                    <w:t>April 17</w:t>
                  </w:r>
                  <w:r w:rsidRPr="006878B6">
                    <w:rPr>
                      <w:vertAlign w:val="superscript"/>
                    </w:rPr>
                    <w:t>th</w:t>
                  </w:r>
                  <w:r>
                    <w:t xml:space="preserve"> 1 pm and 4pm squad times</w:t>
                  </w:r>
                </w:p>
                <w:p w:rsidR="00414FB1" w:rsidRDefault="006878B6" w:rsidP="00E33503">
                  <w:pPr>
                    <w:pStyle w:val="Tagline"/>
                  </w:pPr>
                  <w:r>
                    <w:t xml:space="preserve"> April 18</w:t>
                  </w:r>
                  <w:r w:rsidRPr="006878B6">
                    <w:rPr>
                      <w:vertAlign w:val="superscript"/>
                    </w:rPr>
                    <w:t>th</w:t>
                  </w:r>
                  <w:r>
                    <w:rPr>
                      <w:vertAlign w:val="superscript"/>
                    </w:rPr>
                    <w:t xml:space="preserve">   </w:t>
                  </w:r>
                  <w:r>
                    <w:t>4pm squad time</w:t>
                  </w:r>
                </w:p>
                <w:p w:rsidR="00625DD3" w:rsidRDefault="00625DD3" w:rsidP="00E33503">
                  <w:pPr>
                    <w:pStyle w:val="Tagline"/>
                  </w:pPr>
                  <w:r>
                    <w:t>AMF East Carolina Lanes</w:t>
                  </w:r>
                </w:p>
                <w:p w:rsidR="00625DD3" w:rsidRDefault="00625DD3" w:rsidP="00E33503">
                  <w:pPr>
                    <w:pStyle w:val="Tagline"/>
                  </w:pPr>
                  <w:r>
                    <w:t>Greenville, NC</w:t>
                  </w:r>
                </w:p>
                <w:p w:rsidR="006878B6" w:rsidRPr="00E33503" w:rsidRDefault="006878B6" w:rsidP="00E33503">
                  <w:pPr>
                    <w:pStyle w:val="Tagline"/>
                  </w:pPr>
                </w:p>
              </w:txbxContent>
            </v:textbox>
            <w10:wrap side="left" anchorx="page" anchory="page"/>
          </v:shape>
        </w:pict>
      </w:r>
      <w:r w:rsidR="008269A3">
        <w:t xml:space="preserve">Mike Freeman Hull  </w:t>
      </w:r>
      <w:r w:rsidR="008269A3" w:rsidRPr="008269A3">
        <w:t xml:space="preserve">  </w:t>
      </w:r>
      <w:r w:rsidR="008269A3">
        <w:tab/>
      </w:r>
      <w:r w:rsidR="008269A3">
        <w:tab/>
      </w:r>
      <w:r w:rsidR="008269A3">
        <w:tab/>
      </w:r>
      <w:r w:rsidR="008269A3">
        <w:tab/>
      </w:r>
      <w:r w:rsidR="008269A3">
        <w:tab/>
      </w:r>
      <w:r>
        <w:t>OVER 50 YRS OLD AND UNDER 4</w:t>
      </w:r>
      <w:r w:rsidR="00A13DDC">
        <w:t>9</w:t>
      </w:r>
      <w:r w:rsidR="008269A3" w:rsidRPr="008269A3">
        <w:t xml:space="preserve"> YRS</w:t>
      </w:r>
    </w:p>
    <w:p w:rsidR="006878B6" w:rsidRDefault="008269A3" w:rsidP="0049674D">
      <w:r>
        <w:t>Cyndi Simmons Little</w:t>
      </w:r>
      <w:r>
        <w:tab/>
      </w:r>
      <w:r>
        <w:tab/>
      </w:r>
      <w:r>
        <w:tab/>
      </w:r>
      <w:r>
        <w:tab/>
        <w:t xml:space="preserve">  </w:t>
      </w:r>
    </w:p>
    <w:p w:rsidR="0049674D" w:rsidRDefault="0049674D" w:rsidP="0049674D"/>
    <w:p w:rsidR="006878B6" w:rsidRDefault="006878B6" w:rsidP="006878B6">
      <w:pPr>
        <w:ind w:left="4320" w:firstLine="720"/>
      </w:pPr>
    </w:p>
    <w:p w:rsidR="006878B6" w:rsidRDefault="006878B6" w:rsidP="006878B6">
      <w:pPr>
        <w:ind w:left="4320" w:firstLine="720"/>
      </w:pPr>
    </w:p>
    <w:p w:rsidR="006878B6" w:rsidRDefault="00364B2A" w:rsidP="006878B6">
      <w:pPr>
        <w:ind w:left="4320" w:firstLine="720"/>
      </w:pPr>
      <w:r>
        <w:pict>
          <v:shape id="_x0000_s1030" type="#_x0000_t202" style="position:absolute;left:0;text-align:left;margin-left:206.6pt;margin-top:332.75pt;width:364.5pt;height:40pt;z-index:25165619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column-margin:5.7pt" inset="2.85pt,2.85pt,2.85pt,2.85pt">
              <w:txbxContent>
                <w:p w:rsidR="00414FB1" w:rsidRDefault="006878B6" w:rsidP="00625DD3">
                  <w:pPr>
                    <w:pStyle w:val="BodyText"/>
                    <w:jc w:val="center"/>
                  </w:pPr>
                  <w:r>
                    <w:t>O</w:t>
                  </w:r>
                  <w:r w:rsidR="00364B2A">
                    <w:t>ne bowler must be 5</w:t>
                  </w:r>
                  <w:r>
                    <w:t xml:space="preserve">0 years of age and older with the other being </w:t>
                  </w:r>
                  <w:r w:rsidR="00625DD3">
                    <w:t xml:space="preserve">   </w:t>
                  </w:r>
                  <w:r w:rsidR="00364B2A">
                    <w:t>4</w:t>
                  </w:r>
                  <w:r>
                    <w:t>9 years of age and younger</w:t>
                  </w:r>
                </w:p>
                <w:p w:rsidR="00161B09" w:rsidRDefault="00161B09" w:rsidP="00625DD3">
                  <w:pPr>
                    <w:pStyle w:val="BodyText"/>
                    <w:jc w:val="center"/>
                  </w:pPr>
                </w:p>
                <w:p w:rsidR="00161B09" w:rsidRDefault="00161B09" w:rsidP="00625DD3">
                  <w:pPr>
                    <w:pStyle w:val="BodyText"/>
                    <w:jc w:val="center"/>
                  </w:pPr>
                </w:p>
                <w:p w:rsidR="006878B6" w:rsidRPr="00960134" w:rsidRDefault="006878B6" w:rsidP="00960134">
                  <w:pPr>
                    <w:pStyle w:val="BodyText"/>
                  </w:pPr>
                </w:p>
              </w:txbxContent>
            </v:textbox>
            <w10:wrap side="left" anchorx="page" anchory="page"/>
          </v:shape>
        </w:pict>
      </w:r>
    </w:p>
    <w:p w:rsidR="00161B09" w:rsidRDefault="00364B2A" w:rsidP="006878B6">
      <w:pPr>
        <w:ind w:left="2880" w:firstLine="720"/>
      </w:pPr>
      <w:r>
        <w:rPr>
          <w:noProof/>
        </w:rPr>
        <w:pict>
          <v:shape id="_x0000_s1096" type="#_x0000_t202" style="position:absolute;left:0;text-align:left;margin-left:176.25pt;margin-top:15.2pt;width:84.35pt;height:48.2pt;z-index:251663360;mso-wrap-style:square;mso-wrap-distance-left:9pt;mso-wrap-distance-top:0;mso-wrap-distance-right:9pt;mso-wrap-distance-bottom:0;mso-position-horizontal-relative:text;mso-position-vertical-relative:text;v-text-anchor:top" filled="f" stroked="f">
            <v:textbox>
              <w:txbxContent>
                <w:p w:rsidR="00625DD3" w:rsidRPr="00625DD3" w:rsidRDefault="00625DD3">
                  <w:pPr>
                    <w:rPr>
                      <w:b/>
                      <w:sz w:val="36"/>
                      <w:szCs w:val="36"/>
                    </w:rPr>
                  </w:pPr>
                  <w:r w:rsidRPr="00625DD3">
                    <w:rPr>
                      <w:b/>
                      <w:sz w:val="36"/>
                      <w:szCs w:val="36"/>
                    </w:rPr>
                    <w:t>Wisdom</w:t>
                  </w:r>
                </w:p>
              </w:txbxContent>
            </v:textbox>
          </v:shape>
        </w:pict>
      </w:r>
      <w:r>
        <w:rPr>
          <w:noProof/>
        </w:rPr>
        <w:pict>
          <v:shape id="_x0000_s1100" type="#_x0000_t202" style="position:absolute;left:0;text-align:left;margin-left:289.85pt;margin-top:57.5pt;width:84.75pt;height:83.7pt;z-index:251666432;mso-wrap-distance-left:9pt;mso-wrap-distance-top:0;mso-wrap-distance-right:9pt;mso-wrap-distance-bottom:0;mso-position-horizontal:absolute;mso-position-horizontal-relative:text;mso-position-vertical:absolute;mso-position-vertical-relative:text;v-text-anchor:top" filled="f" stroked="f">
            <v:textbox style="mso-next-textbox:#_x0000_s1100">
              <w:txbxContent>
                <w:p w:rsidR="00C7051C" w:rsidRPr="00161B09" w:rsidRDefault="00C7051C" w:rsidP="00161B09">
                  <w:pPr>
                    <w:rPr>
                      <w:b/>
                      <w:sz w:val="52"/>
                      <w:szCs w:val="52"/>
                    </w:rPr>
                  </w:pPr>
                  <w:r w:rsidRPr="00161B09">
                    <w:rPr>
                      <w:b/>
                      <w:sz w:val="52"/>
                      <w:szCs w:val="52"/>
                    </w:rPr>
                    <w:t>With</w:t>
                  </w:r>
                </w:p>
              </w:txbxContent>
            </v:textbox>
          </v:shape>
        </w:pict>
      </w:r>
      <w:r>
        <w:pict>
          <v:shape id="_x0000_s1028" type="#_x0000_t202" style="position:absolute;left:0;text-align:left;margin-left:206.6pt;margin-top:142.9pt;width:364.5pt;height:27.45pt;z-index:2516541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column-margin:5.7pt;mso-fit-shape-to-text:t" inset="2.85pt,2.85pt,2.85pt,2.85pt">
              <w:txbxContent>
                <w:p w:rsidR="00414FB1" w:rsidRPr="00AE6316" w:rsidRDefault="006878B6" w:rsidP="00AE6316">
                  <w:pPr>
                    <w:pStyle w:val="Heading2"/>
                  </w:pPr>
                  <w:r>
                    <w:t>Wisdom and Knowledge Doubles</w:t>
                  </w:r>
                </w:p>
              </w:txbxContent>
            </v:textbox>
            <w10:wrap side="left" anchorx="page" anchory="page"/>
          </v:shape>
        </w:pict>
      </w:r>
    </w:p>
    <w:p w:rsidR="00161B09" w:rsidRDefault="00364B2A" w:rsidP="006878B6">
      <w:pPr>
        <w:ind w:left="2880" w:firstLine="720"/>
      </w:pPr>
      <w:r>
        <w:rPr>
          <w:noProof/>
        </w:rPr>
        <w:pict>
          <v:shape id="_x0000_s1097" type="#_x0000_t202" style="position:absolute;left:0;text-align:left;margin-left:405.55pt;margin-top:5.65pt;width:106.5pt;height:25.7pt;z-index:251664384;mso-wrap-distance-left:9pt;mso-wrap-distance-top:0;mso-wrap-distance-right:9pt;mso-wrap-distance-bottom:0;mso-position-horizontal-relative:text;mso-position-vertical-relative:text;v-text-anchor:top" filled="f" stroked="f">
            <v:textbox>
              <w:txbxContent>
                <w:p w:rsidR="00625DD3" w:rsidRPr="00625DD3" w:rsidRDefault="00625DD3">
                  <w:pPr>
                    <w:rPr>
                      <w:b/>
                      <w:sz w:val="32"/>
                      <w:szCs w:val="32"/>
                    </w:rPr>
                  </w:pPr>
                  <w:r w:rsidRPr="00625DD3">
                    <w:rPr>
                      <w:b/>
                      <w:sz w:val="32"/>
                      <w:szCs w:val="32"/>
                    </w:rPr>
                    <w:t>Knowledge</w:t>
                  </w:r>
                </w:p>
              </w:txbxContent>
            </v:textbox>
          </v:shape>
        </w:pict>
      </w:r>
    </w:p>
    <w:p w:rsidR="003E6F76" w:rsidRDefault="00364B2A" w:rsidP="00161B09">
      <w:pPr>
        <w:ind w:left="2880" w:firstLine="720"/>
      </w:pPr>
      <w:r>
        <w:pict w14:anchorId="41CF579A">
          <v:shape id="_x0000_i1026" type="#_x0000_t75" style="width:88.85pt;height:90.7pt;mso-left-percent:-10001;mso-top-percent:-10001;mso-position-horizontal:absolute;mso-position-horizontal-relative:char;mso-position-vertical:absolute;mso-position-vertical-relative:line;mso-left-percent:-10001;mso-top-percent:-10001">
            <v:imagedata r:id="rId8" o:title=""/>
          </v:shape>
        </w:pict>
      </w:r>
      <w:r w:rsidR="006878B6">
        <w:t xml:space="preserve">                     </w:t>
      </w:r>
      <w:r w:rsidR="00161B09">
        <w:t xml:space="preserve">                    </w:t>
      </w:r>
      <w:r>
        <w:pict w14:anchorId="44E866AD">
          <v:shape id="_x0000_i1027" type="#_x0000_t75" style="width:132.8pt;height:81.35pt;mso-left-percent:-10001;mso-top-percent:-10001;mso-position-horizontal:absolute;mso-position-horizontal-relative:char;mso-position-vertical:absolute;mso-position-vertical-relative:line;mso-left-percent:-10001;mso-top-percent:-10001">
            <v:imagedata r:id="rId9" o:title=""/>
          </v:shape>
        </w:pict>
      </w:r>
    </w:p>
    <w:p w:rsidR="00C7051C" w:rsidRDefault="00C7051C" w:rsidP="00C7051C">
      <w:pPr>
        <w:spacing w:after="0"/>
        <w:ind w:left="2880" w:firstLine="720"/>
        <w:jc w:val="center"/>
      </w:pPr>
      <w:r>
        <w:t xml:space="preserve">Tournament check-in is one hour prior to scheduled squad time. Practice starts 10 minutes before squad time. </w:t>
      </w:r>
    </w:p>
    <w:p w:rsidR="00161B09" w:rsidRDefault="00393EA6" w:rsidP="00C7051C">
      <w:pPr>
        <w:spacing w:after="0"/>
        <w:ind w:left="2880" w:firstLine="720"/>
        <w:jc w:val="center"/>
      </w:pPr>
      <w:r>
        <w:t>Entry $40 per person</w:t>
      </w:r>
    </w:p>
    <w:p w:rsidR="00C7051C" w:rsidRDefault="00C7051C" w:rsidP="00C7051C">
      <w:pPr>
        <w:spacing w:after="0"/>
        <w:ind w:left="2880" w:firstLine="720"/>
        <w:jc w:val="center"/>
      </w:pPr>
      <w:r>
        <w:t>On-site fee is $45 per person</w:t>
      </w:r>
    </w:p>
    <w:p w:rsidR="00393EA6" w:rsidRDefault="00393EA6" w:rsidP="00393EA6">
      <w:pPr>
        <w:spacing w:after="0"/>
        <w:ind w:left="2160" w:firstLine="720"/>
      </w:pPr>
    </w:p>
    <w:p w:rsidR="00C7051C" w:rsidRDefault="00C7051C" w:rsidP="00393EA6">
      <w:pPr>
        <w:spacing w:after="0"/>
        <w:ind w:left="2160" w:firstLine="720"/>
      </w:pPr>
      <w:r>
        <w:t xml:space="preserve">   Squad Preference: </w:t>
      </w:r>
      <w:r w:rsidR="00393EA6">
        <w:t>__________________</w:t>
      </w:r>
    </w:p>
    <w:p w:rsidR="00C7051C" w:rsidRDefault="00C7051C" w:rsidP="00C7051C">
      <w:pPr>
        <w:spacing w:after="0"/>
        <w:ind w:left="2880" w:firstLine="720"/>
        <w:jc w:val="center"/>
      </w:pPr>
    </w:p>
    <w:tbl>
      <w:tblPr>
        <w:tblStyle w:val="TableGrid"/>
        <w:tblW w:w="8854" w:type="dxa"/>
        <w:tblInd w:w="2268" w:type="dxa"/>
        <w:tblLook w:val="04A0" w:firstRow="1" w:lastRow="0" w:firstColumn="1" w:lastColumn="0" w:noHBand="0" w:noVBand="1"/>
      </w:tblPr>
      <w:tblGrid>
        <w:gridCol w:w="2307"/>
        <w:gridCol w:w="1520"/>
        <w:gridCol w:w="984"/>
        <w:gridCol w:w="984"/>
        <w:gridCol w:w="1675"/>
        <w:gridCol w:w="630"/>
        <w:gridCol w:w="754"/>
      </w:tblGrid>
      <w:tr w:rsidR="00C7051C" w:rsidTr="00393EA6">
        <w:trPr>
          <w:trHeight w:val="464"/>
        </w:trPr>
        <w:tc>
          <w:tcPr>
            <w:tcW w:w="2307" w:type="dxa"/>
          </w:tcPr>
          <w:p w:rsidR="00C7051C" w:rsidRDefault="00364B2A" w:rsidP="00C7051C">
            <w:pPr>
              <w:spacing w:after="0"/>
              <w:jc w:val="center"/>
            </w:pPr>
            <w:r>
              <w:pict>
                <v:shape id="_x0000_s1033" type="#_x0000_t202" style="position:absolute;left:0;text-align:left;margin-left:-146.75pt;margin-top:.4pt;width:134.85pt;height:20.2pt;z-index:25165824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3;mso-column-margin:5.7pt;mso-fit-shape-to-text:t" inset="2.85pt,2.85pt,2.85pt,2.85pt">
                    <w:txbxContent>
                      <w:p w:rsidR="00414FB1" w:rsidRPr="00AE6316" w:rsidRDefault="008269A3" w:rsidP="00AE6316">
                        <w:pPr>
                          <w:pStyle w:val="Heading3"/>
                        </w:pPr>
                        <w:r>
                          <w:t>Greenville NC USBC</w:t>
                        </w:r>
                      </w:p>
                    </w:txbxContent>
                  </v:textbox>
                  <w10:wrap side="left" anchorx="page" anchory="page"/>
                </v:shape>
              </w:pict>
            </w:r>
            <w:r w:rsidR="00161B09">
              <w:t>Last Name</w:t>
            </w:r>
          </w:p>
        </w:tc>
        <w:tc>
          <w:tcPr>
            <w:tcW w:w="1520" w:type="dxa"/>
          </w:tcPr>
          <w:p w:rsidR="00C7051C" w:rsidRDefault="00161B09" w:rsidP="00C7051C">
            <w:pPr>
              <w:spacing w:after="0"/>
              <w:jc w:val="center"/>
            </w:pPr>
            <w:r>
              <w:t>First Name</w:t>
            </w:r>
          </w:p>
        </w:tc>
        <w:tc>
          <w:tcPr>
            <w:tcW w:w="984" w:type="dxa"/>
          </w:tcPr>
          <w:p w:rsidR="00C7051C" w:rsidRDefault="00161B09" w:rsidP="00C7051C">
            <w:pPr>
              <w:spacing w:after="0"/>
              <w:jc w:val="center"/>
            </w:pPr>
            <w:r>
              <w:t>Book Avg.</w:t>
            </w:r>
          </w:p>
        </w:tc>
        <w:tc>
          <w:tcPr>
            <w:tcW w:w="984" w:type="dxa"/>
          </w:tcPr>
          <w:p w:rsidR="00C7051C" w:rsidRDefault="00161B09" w:rsidP="00C7051C">
            <w:pPr>
              <w:spacing w:after="0"/>
              <w:jc w:val="center"/>
            </w:pPr>
            <w:r>
              <w:t>Current Avg.</w:t>
            </w:r>
          </w:p>
        </w:tc>
        <w:tc>
          <w:tcPr>
            <w:tcW w:w="1675" w:type="dxa"/>
          </w:tcPr>
          <w:p w:rsidR="00C7051C" w:rsidRDefault="00161B09" w:rsidP="00C7051C">
            <w:pPr>
              <w:spacing w:after="0"/>
              <w:jc w:val="center"/>
            </w:pPr>
            <w:r>
              <w:t>USBC Number</w:t>
            </w:r>
          </w:p>
        </w:tc>
        <w:tc>
          <w:tcPr>
            <w:tcW w:w="630" w:type="dxa"/>
          </w:tcPr>
          <w:p w:rsidR="00C7051C" w:rsidRDefault="00161B09" w:rsidP="00C7051C">
            <w:pPr>
              <w:spacing w:after="0"/>
              <w:jc w:val="center"/>
            </w:pPr>
            <w:r>
              <w:t>Over</w:t>
            </w:r>
          </w:p>
        </w:tc>
        <w:tc>
          <w:tcPr>
            <w:tcW w:w="754" w:type="dxa"/>
          </w:tcPr>
          <w:p w:rsidR="00C7051C" w:rsidRDefault="00161B09" w:rsidP="00C7051C">
            <w:pPr>
              <w:spacing w:after="0"/>
              <w:jc w:val="center"/>
            </w:pPr>
            <w:r>
              <w:t>Under</w:t>
            </w:r>
          </w:p>
        </w:tc>
      </w:tr>
      <w:tr w:rsidR="00C7051C" w:rsidTr="00393EA6">
        <w:trPr>
          <w:trHeight w:val="652"/>
        </w:trPr>
        <w:tc>
          <w:tcPr>
            <w:tcW w:w="2307" w:type="dxa"/>
          </w:tcPr>
          <w:p w:rsidR="00C7051C" w:rsidRDefault="00364B2A" w:rsidP="00C7051C">
            <w:pPr>
              <w:spacing w:after="0"/>
              <w:jc w:val="center"/>
            </w:pPr>
            <w:r>
              <w:pict>
                <v:shape id="_x0000_s1032" type="#_x0000_t202" style="position:absolute;left:0;text-align:left;margin-left:-138.95pt;margin-top:12.65pt;width:108.35pt;height:60.8pt;z-index:25165721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2;mso-column-margin:5.7pt" inset="2.85pt,2.85pt,2.85pt,2.85pt">
                    <w:txbxContent>
                      <w:p w:rsidR="00414FB1" w:rsidRPr="00E33503" w:rsidRDefault="006878B6" w:rsidP="00A921DE">
                        <w:pPr>
                          <w:pStyle w:val="Address"/>
                        </w:pPr>
                        <w:r>
                          <w:t>321 Corey Trail</w:t>
                        </w:r>
                      </w:p>
                      <w:p w:rsidR="00BA1C86" w:rsidRDefault="006878B6" w:rsidP="00A921DE">
                        <w:pPr>
                          <w:pStyle w:val="Address"/>
                        </w:pPr>
                        <w:r>
                          <w:t>Snow Hill, NC 28580</w:t>
                        </w:r>
                      </w:p>
                      <w:p w:rsidR="00A921DE" w:rsidRDefault="00A921DE" w:rsidP="00A921DE">
                        <w:pPr>
                          <w:pStyle w:val="Address"/>
                        </w:pPr>
                        <w:r>
                          <w:t xml:space="preserve">Phone: </w:t>
                        </w:r>
                        <w:r w:rsidR="0086739D">
                          <w:t>(</w:t>
                        </w:r>
                        <w:r w:rsidR="006878B6">
                          <w:t>252</w:t>
                        </w:r>
                        <w:r w:rsidR="0086739D">
                          <w:t xml:space="preserve">) </w:t>
                        </w:r>
                        <w:r w:rsidR="006878B6">
                          <w:t>253</w:t>
                        </w:r>
                        <w:r w:rsidR="0086739D">
                          <w:t>-</w:t>
                        </w:r>
                        <w:r w:rsidR="006878B6">
                          <w:t>0298</w:t>
                        </w:r>
                      </w:p>
                      <w:p w:rsidR="004034F9" w:rsidRDefault="006878B6" w:rsidP="00E63AFC">
                        <w:pPr>
                          <w:pStyle w:val="Address"/>
                        </w:pPr>
                        <w:r>
                          <w:t>Greenvillenc@gmail.com</w:t>
                        </w:r>
                      </w:p>
                    </w:txbxContent>
                  </v:textbox>
                  <w10:wrap side="left" anchorx="page" anchory="page"/>
                </v:shape>
              </w:pict>
            </w:r>
          </w:p>
        </w:tc>
        <w:tc>
          <w:tcPr>
            <w:tcW w:w="1520" w:type="dxa"/>
          </w:tcPr>
          <w:p w:rsidR="00C7051C" w:rsidRDefault="00C7051C" w:rsidP="00C7051C">
            <w:pPr>
              <w:spacing w:after="0"/>
              <w:jc w:val="center"/>
            </w:pPr>
          </w:p>
        </w:tc>
        <w:tc>
          <w:tcPr>
            <w:tcW w:w="984" w:type="dxa"/>
          </w:tcPr>
          <w:p w:rsidR="00C7051C" w:rsidRDefault="00C7051C" w:rsidP="00C7051C">
            <w:pPr>
              <w:spacing w:after="0"/>
              <w:jc w:val="center"/>
            </w:pPr>
          </w:p>
        </w:tc>
        <w:tc>
          <w:tcPr>
            <w:tcW w:w="984" w:type="dxa"/>
          </w:tcPr>
          <w:p w:rsidR="00C7051C" w:rsidRDefault="00C7051C" w:rsidP="00C7051C">
            <w:pPr>
              <w:spacing w:after="0"/>
              <w:jc w:val="center"/>
            </w:pPr>
          </w:p>
        </w:tc>
        <w:tc>
          <w:tcPr>
            <w:tcW w:w="1675" w:type="dxa"/>
          </w:tcPr>
          <w:p w:rsidR="00C7051C" w:rsidRDefault="00C7051C" w:rsidP="00C7051C">
            <w:pPr>
              <w:spacing w:after="0"/>
              <w:jc w:val="center"/>
            </w:pPr>
          </w:p>
        </w:tc>
        <w:tc>
          <w:tcPr>
            <w:tcW w:w="630" w:type="dxa"/>
          </w:tcPr>
          <w:p w:rsidR="00C7051C" w:rsidRDefault="00C7051C" w:rsidP="00C7051C">
            <w:pPr>
              <w:spacing w:after="0"/>
              <w:jc w:val="center"/>
            </w:pPr>
          </w:p>
        </w:tc>
        <w:tc>
          <w:tcPr>
            <w:tcW w:w="754" w:type="dxa"/>
          </w:tcPr>
          <w:p w:rsidR="00C7051C" w:rsidRDefault="00C7051C" w:rsidP="00C7051C">
            <w:pPr>
              <w:spacing w:after="0"/>
              <w:jc w:val="center"/>
            </w:pPr>
          </w:p>
        </w:tc>
      </w:tr>
      <w:tr w:rsidR="00C7051C" w:rsidTr="00393EA6">
        <w:trPr>
          <w:trHeight w:val="933"/>
        </w:trPr>
        <w:tc>
          <w:tcPr>
            <w:tcW w:w="2307" w:type="dxa"/>
          </w:tcPr>
          <w:p w:rsidR="00C7051C" w:rsidRDefault="00C7051C" w:rsidP="00C7051C">
            <w:pPr>
              <w:spacing w:after="0"/>
              <w:jc w:val="center"/>
            </w:pPr>
          </w:p>
        </w:tc>
        <w:tc>
          <w:tcPr>
            <w:tcW w:w="1520" w:type="dxa"/>
          </w:tcPr>
          <w:p w:rsidR="00C7051C" w:rsidRDefault="00C7051C" w:rsidP="00C7051C">
            <w:pPr>
              <w:spacing w:after="0"/>
              <w:jc w:val="center"/>
            </w:pPr>
          </w:p>
        </w:tc>
        <w:tc>
          <w:tcPr>
            <w:tcW w:w="984" w:type="dxa"/>
          </w:tcPr>
          <w:p w:rsidR="00C7051C" w:rsidRDefault="00C7051C" w:rsidP="00C7051C">
            <w:pPr>
              <w:spacing w:after="0"/>
              <w:jc w:val="center"/>
            </w:pPr>
          </w:p>
        </w:tc>
        <w:tc>
          <w:tcPr>
            <w:tcW w:w="984" w:type="dxa"/>
          </w:tcPr>
          <w:p w:rsidR="00C7051C" w:rsidRDefault="00C7051C" w:rsidP="00C7051C">
            <w:pPr>
              <w:spacing w:after="0"/>
              <w:jc w:val="center"/>
            </w:pPr>
          </w:p>
        </w:tc>
        <w:tc>
          <w:tcPr>
            <w:tcW w:w="1675" w:type="dxa"/>
          </w:tcPr>
          <w:p w:rsidR="00C7051C" w:rsidRDefault="00C7051C" w:rsidP="00C7051C">
            <w:pPr>
              <w:spacing w:after="0"/>
              <w:jc w:val="center"/>
            </w:pPr>
          </w:p>
        </w:tc>
        <w:tc>
          <w:tcPr>
            <w:tcW w:w="630" w:type="dxa"/>
          </w:tcPr>
          <w:p w:rsidR="00C7051C" w:rsidRDefault="00C7051C" w:rsidP="00C7051C">
            <w:pPr>
              <w:spacing w:after="0"/>
              <w:jc w:val="center"/>
            </w:pPr>
          </w:p>
        </w:tc>
        <w:tc>
          <w:tcPr>
            <w:tcW w:w="754" w:type="dxa"/>
          </w:tcPr>
          <w:p w:rsidR="00C7051C" w:rsidRDefault="00C7051C" w:rsidP="00C7051C">
            <w:pPr>
              <w:spacing w:after="0"/>
              <w:jc w:val="center"/>
            </w:pPr>
          </w:p>
        </w:tc>
      </w:tr>
    </w:tbl>
    <w:p w:rsidR="0049674D" w:rsidRDefault="00364B2A" w:rsidP="00161B09">
      <w:pPr>
        <w:spacing w:after="0"/>
      </w:pPr>
      <w:r>
        <w:rPr>
          <w:noProof/>
        </w:rPr>
        <w:pict>
          <v:shape id="_x0000_s1101" type="#_x0000_t202" style="position:absolute;margin-left:137.05pt;margin-top:19.95pt;width:375pt;height:32.25pt;z-index:251667456;mso-wrap-style:square;mso-wrap-distance-left:9pt;mso-wrap-distance-top:0;mso-wrap-distance-right:9pt;mso-wrap-distance-bottom:0;mso-position-horizontal-relative:text;mso-position-vertical-relative:text;v-text-anchor:top" filled="f" stroked="f">
            <v:textbox>
              <w:txbxContent>
                <w:p w:rsidR="008269A3" w:rsidRDefault="008269A3">
                  <w:r>
                    <w:t>You can see an</w:t>
                  </w:r>
                  <w:r w:rsidR="004B3CF6">
                    <w:t>y</w:t>
                  </w:r>
                  <w:r>
                    <w:t xml:space="preserve"> association member for pre- payments</w:t>
                  </w:r>
                </w:p>
                <w:p w:rsidR="0049674D" w:rsidRDefault="0049674D"/>
                <w:p w:rsidR="0049674D" w:rsidRDefault="0049674D"/>
              </w:txbxContent>
            </v:textbox>
          </v:shape>
        </w:pict>
      </w:r>
    </w:p>
    <w:p w:rsidR="00393EA6" w:rsidRDefault="00393EA6" w:rsidP="00161B09">
      <w:pPr>
        <w:spacing w:after="0"/>
      </w:pPr>
    </w:p>
    <w:p w:rsidR="00393EA6" w:rsidRDefault="00393EA6" w:rsidP="00161B09">
      <w:pPr>
        <w:spacing w:after="0"/>
      </w:pPr>
    </w:p>
    <w:p w:rsidR="00393EA6" w:rsidRDefault="00393EA6" w:rsidP="00161B09">
      <w:pPr>
        <w:spacing w:after="0"/>
      </w:pPr>
    </w:p>
    <w:p w:rsidR="00161B09" w:rsidRDefault="00364B2A" w:rsidP="00161B09">
      <w:pPr>
        <w:spacing w:after="0"/>
      </w:pPr>
      <w:r>
        <w:rPr>
          <w:noProof/>
        </w:rPr>
        <w:pict>
          <v:shape id="_x0000_s1102" type="#_x0000_t202" style="position:absolute;margin-left:21.35pt;margin-top:45.3pt;width:502.5pt;height:580.15pt;z-index:251668480;mso-wrap-style:square;mso-wrap-distance-left:9pt;mso-wrap-distance-top:0;mso-wrap-distance-right:9pt;mso-wrap-distance-bottom:0;mso-position-horizontal:absolute;mso-position-horizontal-relative:text;mso-position-vertical:absolute;mso-position-vertical-relative:text;v-text-anchor:top" filled="f" stroked="f">
            <v:textbox>
              <w:txbxContent>
                <w:p w:rsidR="00ED4EDB" w:rsidRDefault="00ED4EDB" w:rsidP="00ED4EDB">
                  <w:pPr>
                    <w:ind w:left="360"/>
                  </w:pPr>
                  <w:r>
                    <w:t>Prize Ratio Trio’s (at least 1 in 5)</w:t>
                  </w:r>
                </w:p>
                <w:p w:rsidR="00ED4EDB" w:rsidRDefault="00ED4EDB" w:rsidP="00ED4EDB">
                  <w:pPr>
                    <w:ind w:left="360"/>
                  </w:pPr>
                </w:p>
                <w:p w:rsidR="00ED4EDB" w:rsidRPr="00ED4EDB" w:rsidRDefault="00ED4EDB" w:rsidP="00ED4EDB">
                  <w:pPr>
                    <w:ind w:left="360"/>
                    <w:jc w:val="center"/>
                    <w:rPr>
                      <w:sz w:val="32"/>
                      <w:szCs w:val="32"/>
                    </w:rPr>
                  </w:pPr>
                  <w:r w:rsidRPr="00ED4EDB">
                    <w:rPr>
                      <w:sz w:val="32"/>
                      <w:szCs w:val="32"/>
                    </w:rPr>
                    <w:t>Tournament Rules</w:t>
                  </w:r>
                </w:p>
                <w:p w:rsidR="00ED4EDB" w:rsidRDefault="00ED4EDB" w:rsidP="00ED4EDB">
                  <w:pPr>
                    <w:numPr>
                      <w:ilvl w:val="0"/>
                      <w:numId w:val="11"/>
                    </w:numPr>
                  </w:pPr>
                  <w:r>
                    <w:t xml:space="preserve">Eligible participants will be USBC Members </w:t>
                  </w:r>
                </w:p>
                <w:p w:rsidR="00ED4EDB" w:rsidRDefault="00364B2A" w:rsidP="00ED4EDB">
                  <w:pPr>
                    <w:numPr>
                      <w:ilvl w:val="0"/>
                      <w:numId w:val="11"/>
                    </w:numPr>
                  </w:pPr>
                  <w:r>
                    <w:t>Handicap will be 8</w:t>
                  </w:r>
                  <w:r w:rsidR="00ED4EDB">
                    <w:t xml:space="preserve">0 percent of </w:t>
                  </w:r>
                  <w:r>
                    <w:t xml:space="preserve"> </w:t>
                  </w:r>
                  <w:r>
                    <w:t>220</w:t>
                  </w:r>
                  <w:bookmarkStart w:id="0" w:name="_GoBack"/>
                  <w:bookmarkEnd w:id="0"/>
                </w:p>
                <w:p w:rsidR="00ED4EDB" w:rsidRDefault="00393EA6" w:rsidP="00ED4EDB">
                  <w:pPr>
                    <w:numPr>
                      <w:ilvl w:val="0"/>
                      <w:numId w:val="11"/>
                    </w:numPr>
                  </w:pPr>
                  <w:r>
                    <w:t>Entering averages will be:</w:t>
                  </w:r>
                </w:p>
                <w:p w:rsidR="00ED4EDB" w:rsidRDefault="00ED4EDB" w:rsidP="00393EA6">
                  <w:pPr>
                    <w:ind w:left="720"/>
                  </w:pPr>
                  <w:r>
                    <w:t xml:space="preserve">Previous season’s highest of </w:t>
                  </w:r>
                  <w:r w:rsidR="00393EA6">
                    <w:t>20/21 Season</w:t>
                  </w:r>
                  <w:r>
                    <w:t>:</w:t>
                  </w:r>
                </w:p>
                <w:p w:rsidR="00ED4EDB" w:rsidRDefault="00ED4EDB" w:rsidP="00393EA6">
                  <w:pPr>
                    <w:ind w:left="720"/>
                  </w:pPr>
                  <w:r>
                    <w:t>A single USBC league average based on a minimum of 21 games</w:t>
                  </w:r>
                </w:p>
                <w:p w:rsidR="00ED4EDB" w:rsidRDefault="00ED4EDB" w:rsidP="00393EA6">
                  <w:pPr>
                    <w:ind w:left="720"/>
                  </w:pPr>
                  <w:r>
                    <w:t xml:space="preserve">A </w:t>
                  </w:r>
                  <w:r w:rsidR="00393EA6">
                    <w:t>composite average</w:t>
                  </w:r>
                  <w:r>
                    <w:t xml:space="preserve"> of all USBC leagues, including leagues with less than 21 games.</w:t>
                  </w:r>
                </w:p>
                <w:p w:rsidR="00ED4EDB" w:rsidRDefault="00ED4EDB" w:rsidP="00ED4EDB">
                  <w:pPr>
                    <w:numPr>
                      <w:ilvl w:val="0"/>
                      <w:numId w:val="11"/>
                    </w:numPr>
                  </w:pPr>
                  <w:r>
                    <w:t xml:space="preserve">If no average last year, use highest current season USBC average at the time of </w:t>
                  </w:r>
                </w:p>
                <w:p w:rsidR="00ED4EDB" w:rsidRDefault="00F4689D" w:rsidP="00ED4EDB">
                  <w:pPr>
                    <w:ind w:left="720"/>
                  </w:pPr>
                  <w:r>
                    <w:t>entry</w:t>
                  </w:r>
                  <w:r w:rsidR="00ED4EDB">
                    <w:t xml:space="preserve"> for 21 or more games.</w:t>
                  </w:r>
                </w:p>
                <w:p w:rsidR="00ED4EDB" w:rsidRDefault="00ED4EDB" w:rsidP="00ED4EDB">
                  <w:pPr>
                    <w:numPr>
                      <w:ilvl w:val="0"/>
                      <w:numId w:val="11"/>
                    </w:numPr>
                  </w:pPr>
                  <w:r>
                    <w:t>Bowlers with neither of the above averages must bowl scratch.</w:t>
                  </w:r>
                </w:p>
                <w:p w:rsidR="00ED4EDB" w:rsidRDefault="00ED4EDB" w:rsidP="00ED4EDB">
                  <w:pPr>
                    <w:numPr>
                      <w:ilvl w:val="0"/>
                      <w:numId w:val="11"/>
                    </w:numPr>
                  </w:pPr>
                  <w:r>
                    <w:t>If current season average for at least 21 games at  the time of bowling exceeds last season’s average by 10 or more pins, current season average must be used (Rule 319e).</w:t>
                  </w:r>
                  <w:r>
                    <w:tab/>
                  </w:r>
                </w:p>
                <w:p w:rsidR="00ED4EDB" w:rsidRDefault="00ED4EDB" w:rsidP="00ED4EDB">
                  <w:pPr>
                    <w:numPr>
                      <w:ilvl w:val="0"/>
                      <w:numId w:val="11"/>
                    </w:numPr>
                  </w:pPr>
                  <w:r>
                    <w:t>Reporting of previous tournament winnings will apply. (Rule 319d)</w:t>
                  </w:r>
                </w:p>
                <w:p w:rsidR="00ED4EDB" w:rsidRDefault="00ED4EDB" w:rsidP="00ED4EDB">
                  <w:pPr>
                    <w:numPr>
                      <w:ilvl w:val="0"/>
                      <w:numId w:val="11"/>
                    </w:numPr>
                  </w:pPr>
                  <w:r>
                    <w:t>The average adjustment rule will apply (Rule 319e)</w:t>
                  </w:r>
                </w:p>
                <w:p w:rsidR="00ED4EDB" w:rsidRDefault="00ED4EDB" w:rsidP="00ED4EDB">
                  <w:pPr>
                    <w:numPr>
                      <w:ilvl w:val="0"/>
                      <w:numId w:val="11"/>
                    </w:numPr>
                  </w:pPr>
                  <w:r>
                    <w:t xml:space="preserve">It is each bowler’s responsibility to verify the accuracy of their own average in handicap and classified tournament, whether originally submitted by the bowler, the team captain or others.  Failure to use the correct average may disqualify the score if submitted average is lower than correct average, thereby resulting in a lower classification or more </w:t>
                  </w:r>
                  <w:r w:rsidR="00F4689D">
                    <w:t>handicaps</w:t>
                  </w:r>
                  <w:r>
                    <w:t>. Prize winnings will be based on the submitted average, if it is higher that the correct average (Rule 319a-3).</w:t>
                  </w:r>
                </w:p>
                <w:p w:rsidR="00ED4EDB" w:rsidRDefault="00ED4EDB" w:rsidP="00ED4EDB">
                  <w:pPr>
                    <w:numPr>
                      <w:ilvl w:val="0"/>
                      <w:numId w:val="11"/>
                    </w:numPr>
                  </w:pPr>
                  <w:r>
                    <w:t xml:space="preserve">Teams may be composed of </w:t>
                  </w:r>
                  <w:r w:rsidR="00393EA6">
                    <w:t>one bowler who’s ag</w:t>
                  </w:r>
                  <w:r w:rsidR="00364B2A">
                    <w:t>e is 5</w:t>
                  </w:r>
                  <w:r w:rsidR="00393EA6">
                    <w:t>0yrs</w:t>
                  </w:r>
                  <w:r w:rsidR="00A13DDC">
                    <w:t xml:space="preserve"> of age </w:t>
                  </w:r>
                  <w:r w:rsidR="00393EA6">
                    <w:t xml:space="preserve"> an</w:t>
                  </w:r>
                  <w:r w:rsidR="00364B2A">
                    <w:t>d above with one bowler who is 4</w:t>
                  </w:r>
                  <w:r w:rsidR="00393EA6">
                    <w:t>9 yr. of age or younger</w:t>
                  </w:r>
                </w:p>
                <w:p w:rsidR="00ED4EDB" w:rsidRDefault="00ED4EDB" w:rsidP="00ED4EDB">
                  <w:pPr>
                    <w:numPr>
                      <w:ilvl w:val="0"/>
                      <w:numId w:val="11"/>
                    </w:numPr>
                  </w:pPr>
                  <w:r>
                    <w:t>All decisions of the tournament manager are final unless an appeal is made in accordance with Rule 329.</w:t>
                  </w:r>
                </w:p>
                <w:p w:rsidR="00A13DDC" w:rsidRDefault="00ED4EDB" w:rsidP="00A13DDC">
                  <w:pPr>
                    <w:numPr>
                      <w:ilvl w:val="0"/>
                      <w:numId w:val="11"/>
                    </w:numPr>
                  </w:pPr>
                  <w:r>
                    <w:t>All USBC rules will apply.</w:t>
                  </w:r>
                </w:p>
                <w:p w:rsidR="00F4689D" w:rsidRDefault="00F4689D" w:rsidP="00A13DDC">
                  <w:pPr>
                    <w:numPr>
                      <w:ilvl w:val="0"/>
                      <w:numId w:val="11"/>
                    </w:numPr>
                  </w:pPr>
                  <w:r>
                    <w:t>R</w:t>
                  </w:r>
                  <w:r w:rsidR="00A13DDC">
                    <w:t>egular Registration through</w:t>
                  </w:r>
                  <w:r w:rsidR="00393EA6">
                    <w:t xml:space="preserve"> April 1</w:t>
                  </w:r>
                  <w:r w:rsidR="00A13DDC">
                    <w:t>4</w:t>
                  </w:r>
                  <w:r w:rsidRPr="00A13DDC">
                    <w:rPr>
                      <w:vertAlign w:val="superscript"/>
                    </w:rPr>
                    <w:t>th</w:t>
                  </w:r>
                  <w:r>
                    <w:t xml:space="preserve"> 2021</w:t>
                  </w:r>
                </w:p>
                <w:p w:rsidR="00A13DDC" w:rsidRDefault="00A13DDC" w:rsidP="00A13DDC">
                  <w:pPr>
                    <w:numPr>
                      <w:ilvl w:val="0"/>
                      <w:numId w:val="11"/>
                    </w:numPr>
                  </w:pPr>
                  <w:r>
                    <w:t>After April 14</w:t>
                  </w:r>
                  <w:r w:rsidRPr="00A13DDC">
                    <w:rPr>
                      <w:vertAlign w:val="superscript"/>
                    </w:rPr>
                    <w:t>th</w:t>
                  </w:r>
                  <w:r>
                    <w:t xml:space="preserve"> on site fee applies</w:t>
                  </w:r>
                </w:p>
                <w:p w:rsidR="00F4689D" w:rsidRDefault="00F4689D" w:rsidP="00F4689D">
                  <w:pPr>
                    <w:ind w:left="720"/>
                  </w:pPr>
                </w:p>
              </w:txbxContent>
            </v:textbox>
          </v:shape>
        </w:pict>
      </w:r>
      <w:r>
        <w:rPr>
          <w:noProof/>
        </w:rPr>
        <w:pict>
          <v:shape id="_x0000_s1098" type="#_x0000_t202" style="position:absolute;margin-left:95.6pt;margin-top:-16.95pt;width:314.25pt;height:51.75pt;z-index:251665408;mso-wrap-style:square;mso-wrap-distance-left:9pt;mso-wrap-distance-top:0;mso-wrap-distance-right:9pt;mso-wrap-distance-bottom:0;mso-position-horizontal-relative:text;mso-position-vertical-relative:text;v-text-anchor:top" filled="f" stroked="f">
            <v:textbox style="mso-next-textbox:#_x0000_s1098">
              <w:txbxContent>
                <w:p w:rsidR="00625DD3" w:rsidRPr="008269A3" w:rsidRDefault="008269A3" w:rsidP="008269A3">
                  <w:pPr>
                    <w:jc w:val="center"/>
                    <w:rPr>
                      <w:rFonts w:ascii="Rockwell Extra Bold" w:hAnsi="Rockwell Extra Bold"/>
                      <w:sz w:val="44"/>
                      <w:szCs w:val="44"/>
                    </w:rPr>
                  </w:pPr>
                  <w:r>
                    <w:rPr>
                      <w:rFonts w:ascii="Rockwell Extra Bold" w:hAnsi="Rockwell Extra Bold"/>
                      <w:sz w:val="44"/>
                      <w:szCs w:val="44"/>
                    </w:rPr>
                    <w:t xml:space="preserve">Tournament </w:t>
                  </w:r>
                  <w:r w:rsidRPr="008269A3">
                    <w:rPr>
                      <w:rFonts w:ascii="Rockwell Extra Bold" w:hAnsi="Rockwell Extra Bold"/>
                      <w:sz w:val="44"/>
                      <w:szCs w:val="44"/>
                    </w:rPr>
                    <w:t>Rules</w:t>
                  </w:r>
                </w:p>
              </w:txbxContent>
            </v:textbox>
          </v:shape>
        </w:pict>
      </w:r>
    </w:p>
    <w:sectPr w:rsidR="00161B09" w:rsidSect="009F482B">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48830"/>
    <w:lvl w:ilvl="0">
      <w:start w:val="1"/>
      <w:numFmt w:val="decimal"/>
      <w:lvlText w:val="%1."/>
      <w:lvlJc w:val="left"/>
      <w:pPr>
        <w:tabs>
          <w:tab w:val="num" w:pos="1800"/>
        </w:tabs>
        <w:ind w:left="1800" w:hanging="360"/>
      </w:pPr>
    </w:lvl>
  </w:abstractNum>
  <w:abstractNum w:abstractNumId="1">
    <w:nsid w:val="FFFFFF7D"/>
    <w:multiLevelType w:val="singleLevel"/>
    <w:tmpl w:val="0AC0CFEC"/>
    <w:lvl w:ilvl="0">
      <w:start w:val="1"/>
      <w:numFmt w:val="decimal"/>
      <w:lvlText w:val="%1."/>
      <w:lvlJc w:val="left"/>
      <w:pPr>
        <w:tabs>
          <w:tab w:val="num" w:pos="1440"/>
        </w:tabs>
        <w:ind w:left="1440" w:hanging="360"/>
      </w:pPr>
    </w:lvl>
  </w:abstractNum>
  <w:abstractNum w:abstractNumId="2">
    <w:nsid w:val="FFFFFF7E"/>
    <w:multiLevelType w:val="singleLevel"/>
    <w:tmpl w:val="6B005944"/>
    <w:lvl w:ilvl="0">
      <w:start w:val="1"/>
      <w:numFmt w:val="decimal"/>
      <w:lvlText w:val="%1."/>
      <w:lvlJc w:val="left"/>
      <w:pPr>
        <w:tabs>
          <w:tab w:val="num" w:pos="1080"/>
        </w:tabs>
        <w:ind w:left="1080" w:hanging="360"/>
      </w:pPr>
    </w:lvl>
  </w:abstractNum>
  <w:abstractNum w:abstractNumId="3">
    <w:nsid w:val="FFFFFF7F"/>
    <w:multiLevelType w:val="singleLevel"/>
    <w:tmpl w:val="DD583BAA"/>
    <w:lvl w:ilvl="0">
      <w:start w:val="1"/>
      <w:numFmt w:val="decimal"/>
      <w:lvlText w:val="%1."/>
      <w:lvlJc w:val="left"/>
      <w:pPr>
        <w:tabs>
          <w:tab w:val="num" w:pos="720"/>
        </w:tabs>
        <w:ind w:left="720" w:hanging="360"/>
      </w:pPr>
    </w:lvl>
  </w:abstractNum>
  <w:abstractNum w:abstractNumId="4">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0C3D52"/>
    <w:lvl w:ilvl="0">
      <w:start w:val="1"/>
      <w:numFmt w:val="decimal"/>
      <w:lvlText w:val="%1."/>
      <w:lvlJc w:val="left"/>
      <w:pPr>
        <w:tabs>
          <w:tab w:val="num" w:pos="360"/>
        </w:tabs>
        <w:ind w:left="360" w:hanging="360"/>
      </w:pPr>
    </w:lvl>
  </w:abstractNum>
  <w:abstractNum w:abstractNumId="9">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abstractNum w:abstractNumId="10">
    <w:nsid w:val="128F23AD"/>
    <w:multiLevelType w:val="hybridMultilevel"/>
    <w:tmpl w:val="CBDE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068"/>
    <w:rsid w:val="00060AB0"/>
    <w:rsid w:val="0007609B"/>
    <w:rsid w:val="00161B09"/>
    <w:rsid w:val="00264526"/>
    <w:rsid w:val="002F664B"/>
    <w:rsid w:val="00364B2A"/>
    <w:rsid w:val="003732C6"/>
    <w:rsid w:val="00393EA6"/>
    <w:rsid w:val="003A0760"/>
    <w:rsid w:val="003A2458"/>
    <w:rsid w:val="003E1D5D"/>
    <w:rsid w:val="003E6F76"/>
    <w:rsid w:val="004034F9"/>
    <w:rsid w:val="00414FB1"/>
    <w:rsid w:val="00444C24"/>
    <w:rsid w:val="00493E51"/>
    <w:rsid w:val="0049674D"/>
    <w:rsid w:val="004B3CF6"/>
    <w:rsid w:val="004B7708"/>
    <w:rsid w:val="00503BA9"/>
    <w:rsid w:val="00506068"/>
    <w:rsid w:val="005063B3"/>
    <w:rsid w:val="00625DD3"/>
    <w:rsid w:val="00646FF7"/>
    <w:rsid w:val="00673118"/>
    <w:rsid w:val="00684E65"/>
    <w:rsid w:val="006878B6"/>
    <w:rsid w:val="006D52D2"/>
    <w:rsid w:val="007250C3"/>
    <w:rsid w:val="007A1D88"/>
    <w:rsid w:val="007F2F21"/>
    <w:rsid w:val="008269A3"/>
    <w:rsid w:val="0086739D"/>
    <w:rsid w:val="00877445"/>
    <w:rsid w:val="008B4BC9"/>
    <w:rsid w:val="009132F2"/>
    <w:rsid w:val="00915265"/>
    <w:rsid w:val="00960134"/>
    <w:rsid w:val="009F482B"/>
    <w:rsid w:val="00A13DDC"/>
    <w:rsid w:val="00A42D58"/>
    <w:rsid w:val="00A921DE"/>
    <w:rsid w:val="00AE6316"/>
    <w:rsid w:val="00B25577"/>
    <w:rsid w:val="00BA1C86"/>
    <w:rsid w:val="00C7051C"/>
    <w:rsid w:val="00C82A22"/>
    <w:rsid w:val="00D24D85"/>
    <w:rsid w:val="00D32DE1"/>
    <w:rsid w:val="00DA4E14"/>
    <w:rsid w:val="00E23952"/>
    <w:rsid w:val="00E33503"/>
    <w:rsid w:val="00E63AFC"/>
    <w:rsid w:val="00EA7C12"/>
    <w:rsid w:val="00ED4EDB"/>
    <w:rsid w:val="00ED5717"/>
    <w:rsid w:val="00F31F44"/>
    <w:rsid w:val="00F4689D"/>
    <w:rsid w:val="00FE6EEB"/>
    <w:rsid w:val="00FF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fill="f" fillcolor="white" stroke="f">
      <v:fill color="white" on="f"/>
      <v:stroke on="f"/>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B1"/>
    <w:pPr>
      <w:spacing w:after="180" w:line="271" w:lineRule="auto"/>
    </w:pPr>
    <w:rPr>
      <w:color w:val="000000"/>
      <w:kern w:val="28"/>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qFormat/>
    <w:rsid w:val="00264526"/>
    <w:pPr>
      <w:jc w:val="center"/>
      <w:outlineLvl w:val="1"/>
    </w:pPr>
    <w:rPr>
      <w:rFonts w:ascii="Tahoma" w:hAnsi="Tahoma"/>
      <w:b/>
      <w:bCs/>
      <w:kern w:val="28"/>
      <w:sz w:val="36"/>
      <w:szCs w:val="36"/>
      <w:lang w:val="en"/>
    </w:rPr>
  </w:style>
  <w:style w:type="paragraph" w:styleId="Heading3">
    <w:name w:val="heading 3"/>
    <w:next w:val="Normal"/>
    <w:qFormat/>
    <w:rsid w:val="00264526"/>
    <w:pPr>
      <w:jc w:val="center"/>
      <w:outlineLvl w:val="2"/>
    </w:pPr>
    <w:rPr>
      <w:rFonts w:ascii="Tahoma" w:hAnsi="Tahoma"/>
      <w:b/>
      <w:bCs/>
      <w:kern w:val="28"/>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526"/>
    <w:rPr>
      <w:rFonts w:ascii="Tahoma" w:hAnsi="Tahoma"/>
      <w:color w:val="auto"/>
      <w:sz w:val="24"/>
      <w:szCs w:val="24"/>
    </w:rPr>
  </w:style>
  <w:style w:type="table" w:styleId="TableGrid">
    <w:name w:val="Table Grid"/>
    <w:basedOn w:val="TableNormal"/>
    <w:rsid w:val="00C7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BD8A-2984-4141-A688-E3D33D48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Little</dc:creator>
  <cp:lastModifiedBy>Cynthia Little</cp:lastModifiedBy>
  <cp:revision>2</cp:revision>
  <cp:lastPrinted>2021-03-08T21:37:00Z</cp:lastPrinted>
  <dcterms:created xsi:type="dcterms:W3CDTF">2021-04-16T12:47:00Z</dcterms:created>
  <dcterms:modified xsi:type="dcterms:W3CDTF">2021-04-16T12:47:00Z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ies>
</file>